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全省科技创新工作会议在长沙召开 向力力讲话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0" w:leftChars="0" w:right="0" w:rightChars="0" w:firstLine="420" w:firstLineChars="200"/>
        <w:jc w:val="both"/>
        <w:textAlignment w:val="auto"/>
        <w:outlineLvl w:val="9"/>
      </w:pPr>
      <w:r>
        <w:rPr>
          <w:shd w:val="clear" w:fill="FFFFFF"/>
        </w:rPr>
        <w:t>3月1日上午，全省科技创新工作会议在长沙召开。会议总结了2016年全省科技创新工作，部署了2017年全省科技创新各项工作任务。省人民政府副省长向力力出席会议并讲话。省科技厅党组书记童旭</w:t>
      </w:r>
      <w:bookmarkStart w:id="0" w:name="_GoBack"/>
      <w:bookmarkEnd w:id="0"/>
      <w:r>
        <w:rPr>
          <w:shd w:val="clear" w:fill="FFFFFF"/>
        </w:rPr>
        <w:t>东主持会议，省政协副主席、省科技厅厅长赖明勇作工作报告，国防科技大学副校长庄钊文出席。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过去一年，湖南省深入贯彻实施创新驱动发展战略，坚持围绕产业链部署创新链，优化科技创新供给，释放科技创新潜力，高新技术产业实现增加值6859.2亿元，同比增长16%，高出GDP增速8.1个百分点；高新技术企业总数达到2212家，同比增长21.7%；12项科技成果获国家科学技术奖励。研制出了国内首个整列装载永磁牵引系统的列车、具有世界领先水平的可变径硬岩隧道掘进机、全球首套商业深海采矿设备等一批高科技产品，带动相关产业向价值链中高端跃升。超级杂交稻百亩片平均亩产1088公斤，再创世界最高纪录。全省每万人发明专利拥有量4.11件，同比增长24.8%，长株潭地区每万人发明专利拥有量达到13件。大众创新创业的全链条服务进一步提升，新增3家国家级科技企业孵化器、30家国家级众创空间和26家国家级“星创天地”，为全省经济社会持续平稳健康发展，提供了重要的动力引擎和支撑，实现了“十三五”的良好开局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向力力充分肯定了全省科技工作取得的成效。就做好今年科技创新工作，他提出了三点意见：一是要认清形势、把握机遇，进一步增强创新驱动发展的使命感紧迫感责任感。要认真贯彻落实中央要求，把科技创新摆在更加重要的战略位置，自觉贯彻创新发展理念、推动创新发展。我省科技创新，前有标兵，后有追兵，不创新就要落后。要积极解放思想，简政放权，加快科技管理向创新服务的转变，努力抢占新一轮竞争的制高点，提升湖南的长远竞争力，赢得未来发展的主动权。二是要厚植优势、突出重点，着力为经济社会发展增添新动能。湖南省科技创新基础较好，但与相近省份相比，还存在不小的差距，特别是R&amp;D经费投入占GDP的比重仅为1.47%，低于2.10%的全国平均水平，“十三五”要完成2.5%的建设科技强省目标任务难度很大。全省各级各部门要切实加大投入力度，加强统计工作，落实考核责任，确保R&amp;D每年持续快速增长。要强化科技创新的高端引领能力，推动产业结构加快向中高端迈进，要让人民群众真正从科技创新中体验更多获得感，得到更多看得见、摸得着的实惠。要深化科技改革攻坚和职能转变，推动建立新型协同创新机制，集中资源干大事；要强化创新公共服务，推进资源开放共享，更多为各类创新主体松绑减负，清障搭台。三是要凝聚共识、加强协同，汇聚建设科教强省的强大合力。各级各部门要把创新驱动发展摆在经济工作的首要位置，不断提高对科技创新工作的领导水平和驾驭能力。要加强跨地区、跨部门、跨行业、跨领域协同创新。要强化企业创新的主体地位，下大力气培育和壮大高新技术企业队伍。建立完善科技强省建设考核评估体系，确保各项工作落到实处。要不断优化创新环境，加强知识产权创造、运用、保护、管理工作，鼓励发明创造申请专利，依法打击各类侵犯知识产权和科技成果的违法行为，为科技创新活动和科技创新成果提供有力的法律保障。要加强科技宣传和科普工作，营造鼓励探索、宽容失败的创新氛围，推进“大众创业、万众创新”向纵深发展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赖明勇指出，当前无论是在国际国内环境，还是在全省的发展谋划当中，科技创新已经上升到非常重要的战略地位，全省科技工作要勇敢直面机遇和挑战，未来一段时间，全省科技创新工作要对标“2020年综合创新能力显著提升，2030年跻身全国创新型省份前列，2050年建成科技强省”的战略目标，持续精准发力，重点打造“五大工程”，推动全省科技创新升级发展。一是创新人才集聚工程。不断健全体系完备、定位明确的科技人才计划体系和配套服务体系。二是科技创新重点研发工程。围绕“十三五”科技创新规划确定的10大重点产业和我省确定的20条新兴优势产业链，布局重大专项，构建全链条覆盖的技术创新体系，带动产业链上下游协同创新。三是创新环境建设工程。健全多层次、多学科的科研平台服务体系，构建全链条创新服务体系，激发全社会创新热情。四是科技创新政策体系工程。深化科技领域关键性改革，释放各类主体的创新活力。五是科技创新基地建设工程。围绕“三区一极”目标，扎实推进长株潭自创区建设，加快高新区提质升级，打造科技创新核心供给区，辐射带动全省创新发展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2017年，省科技厅将认真贯彻落实新发展理念，以“五大工程”为统领，推动全省科技创新升级发展。更好地发挥科技创新在建设科教强省中的排头兵和生力军作用，为建设富饶美丽幸福新湖南提供坚强保障。重点抓好九个方面的工作：一是优化科技创新供给，服务供给侧结构性改革和重点产业转型升级。二是加大全省研发投入，增强创新驱动源动力。三是推进重点领域改革攻坚，释放全社会创新活力。四是完善科技人才支撑体系，壮大创新创业队伍。五是扎实有序推进长株潭自创区建设，打造辐射带动全省创新发展的“核心区”。六是大力建设创新平台和服务载体，打造区域创新高地。七是加强创新人文环境建设，营造良好创新创业生态。八是完善知识产权综合管理体制，加快建设支撑型知识产权强省。九是加快科技部门职能转变，提升创新服务能力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童旭东指出，各级各部门要深刻领会向力力副省长的重要讲话精神，认真做好本次会议精神的汇报、传达和学习，进一步统一思想，凝聚共识，抓好传达贯彻落实。他就贯彻落实好这次会议精神，提出了六点意见：一要提高思想认识。要切实增强抓科技工作的使命感和责任感，充分发挥科技创新的“金钥匙”、“牛鼻子”作用，打造全省经济社会发展的“动力源”、“新引擎”。二要狠抓工作落实。工作好不好，关键看落实。重点要落实好钱和人。要加强部门配合联动，实施好研发投入增长行动计划，确保R&amp;D经费增长的任务落到实处。要拿出真金白银，引进一批杰出人才团队来湘创新创业。三要深化科技体制改革。要加快创新政策在长株潭的先行先试，加快国家已有政策的落地，充分调动科研人员的积极性。四要强化协同创新。要破除单兵作战的科研模式，加强跨区域、跨学科、跨领域、跨部门的协同创新，通过加强顶层设计，结合湖南省的优势特色，注重“点线面”的结合，凝练实施重大科技工程。五要加强科技宣传。一方面，要通过宣传充分肯定知识分子、科研人员经济和荣誉双丰收，同时要积极营造鼓励创新、宽容失败的创新环境，激发全社会的创新创造热情。六要抓好党建工作，为科技创新的健康发展提供有力的保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会议还表彰了全国科普工作先进集体和先进工作者，并为国家级专业化众创空间、国家级孵化器、2016年入选的省企业科技创新创业团队授牌。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6家单位在会上作交流发言。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下午，会议分4个组进行了专题座谈，就建设科技强省进行了讨论。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both"/>
      </w:pPr>
      <w:r>
        <w:rPr>
          <w:shd w:val="clear" w:fill="FFFFFF"/>
        </w:rPr>
        <w:t>　　各市州分管科技工作的副市州长，省直和中央在湘有关单位负责人，各市州、省直管县科技局局长；国家级、省级高新区和国家级农业科技园区管委会主要负责人；部分高校、科研院所、重点实验室、工程技术研究中心、企业负责人；部分创新创业团队、产业技术创新战略联盟、科普基地、科技金融和服务机构负责人；受表彰和授牌单位代表；省科技厅、省知识产权局有关人员参加会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jc w:val="righ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信息来源：湖南省科学技术厅官网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D0E6E"/>
    <w:rsid w:val="544D0E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1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微软雅黑" w:hAnsi="微软雅黑" w:eastAsia="微软雅黑" w:cs="微软雅黑"/>
      <w:kern w:val="0"/>
      <w:sz w:val="21"/>
      <w:szCs w:val="21"/>
      <w:lang w:val="en-US" w:eastAsia="zh-CN" w:bidi="ar"/>
    </w:rPr>
  </w:style>
  <w:style w:type="character" w:styleId="5">
    <w:name w:val="FollowedHyperlink"/>
    <w:basedOn w:val="4"/>
    <w:uiPriority w:val="0"/>
    <w:rPr>
      <w:color w:val="313131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uiPriority w:val="0"/>
  </w:style>
  <w:style w:type="character" w:styleId="8">
    <w:name w:val="HTML Acronym"/>
    <w:basedOn w:val="4"/>
    <w:uiPriority w:val="0"/>
    <w:rPr>
      <w:bdr w:val="none" w:color="auto" w:sz="0" w:space="0"/>
    </w:rPr>
  </w:style>
  <w:style w:type="character" w:styleId="9">
    <w:name w:val="HTML Variable"/>
    <w:basedOn w:val="4"/>
    <w:uiPriority w:val="0"/>
  </w:style>
  <w:style w:type="character" w:styleId="10">
    <w:name w:val="Hyperlink"/>
    <w:basedOn w:val="4"/>
    <w:uiPriority w:val="0"/>
    <w:rPr>
      <w:color w:val="313131"/>
      <w:u w:val="none"/>
    </w:rPr>
  </w:style>
  <w:style w:type="character" w:styleId="11">
    <w:name w:val="HTML Code"/>
    <w:basedOn w:val="4"/>
    <w:uiPriority w:val="0"/>
    <w:rPr>
      <w:rFonts w:hint="eastAsia" w:ascii="微软雅黑" w:hAnsi="微软雅黑" w:eastAsia="微软雅黑" w:cs="微软雅黑"/>
      <w:sz w:val="21"/>
      <w:szCs w:val="21"/>
      <w:bdr w:val="none" w:color="auto" w:sz="0" w:space="0"/>
    </w:rPr>
  </w:style>
  <w:style w:type="character" w:styleId="12">
    <w:name w:val="HTML Cite"/>
    <w:basedOn w:val="4"/>
    <w:uiPriority w:val="0"/>
  </w:style>
  <w:style w:type="character" w:customStyle="1" w:styleId="14">
    <w:name w:val="dropselect_box"/>
    <w:basedOn w:val="4"/>
    <w:uiPriority w:val="0"/>
  </w:style>
  <w:style w:type="character" w:customStyle="1" w:styleId="15">
    <w:name w:val="dropselect_box1"/>
    <w:basedOn w:val="4"/>
    <w:uiPriority w:val="0"/>
    <w:rPr>
      <w:bdr w:val="single" w:color="E2E2E2" w:sz="6" w:space="0"/>
    </w:rPr>
  </w:style>
  <w:style w:type="character" w:customStyle="1" w:styleId="16">
    <w:name w:val="hj-easyread-speakerprocesser-position-action-icon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2018-09-11T03:23:00Z</dcterms:created>
  <dc:creator>Administrator</dc:creator>
  <cp:lastModifiedBy>Administrator</cp:lastModifiedBy>
  <dcterms:modified xsi:type="dcterms:W3CDTF">2018-09-11T03:37:34Z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